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A33B" w14:textId="22E5EAA8" w:rsidR="00C57AAF" w:rsidRPr="00126A07" w:rsidRDefault="00A95325" w:rsidP="00F35391">
      <w:pPr>
        <w:ind w:right="51"/>
        <w:jc w:val="both"/>
        <w:rPr>
          <w:rFonts w:ascii="Arial" w:eastAsia="Arial Narrow" w:hAnsi="Arial" w:cs="Arial"/>
          <w:sz w:val="22"/>
          <w:szCs w:val="22"/>
        </w:rPr>
      </w:pPr>
      <w:r w:rsidRPr="00126A07">
        <w:rPr>
          <w:rFonts w:ascii="Arial" w:eastAsia="Arial Narrow" w:hAnsi="Arial" w:cs="Arial"/>
          <w:sz w:val="22"/>
          <w:szCs w:val="22"/>
        </w:rPr>
        <w:t>La SCRD brindará el apoyo técnico en las fases del proyecto, en articulación con los agentes</w:t>
      </w:r>
      <w:r w:rsidR="00F35391">
        <w:rPr>
          <w:rFonts w:ascii="Arial" w:eastAsia="Arial Narrow" w:hAnsi="Arial" w:cs="Arial"/>
          <w:sz w:val="22"/>
          <w:szCs w:val="22"/>
        </w:rPr>
        <w:t xml:space="preserve"> </w:t>
      </w:r>
      <w:r w:rsidRPr="00126A07">
        <w:rPr>
          <w:rFonts w:ascii="Arial" w:eastAsia="Arial Narrow" w:hAnsi="Arial" w:cs="Arial"/>
          <w:sz w:val="22"/>
          <w:szCs w:val="22"/>
        </w:rPr>
        <w:t>del campo cultural y otros sectores, según sea el caso, respetando la autonomía del fondo de desarrollo local.</w:t>
      </w:r>
    </w:p>
    <w:p w14:paraId="197DB421" w14:textId="77777777" w:rsidR="00C57AAF" w:rsidRPr="00126A07" w:rsidRDefault="00C57AAF">
      <w:pPr>
        <w:ind w:right="424"/>
        <w:jc w:val="both"/>
        <w:rPr>
          <w:rFonts w:ascii="Arial" w:eastAsia="Calibri" w:hAnsi="Arial" w:cs="Arial"/>
          <w:sz w:val="22"/>
          <w:szCs w:val="22"/>
        </w:rPr>
      </w:pPr>
      <w:bookmarkStart w:id="1" w:name="_s1mg0ko08i8i" w:colFirst="0" w:colLast="0"/>
      <w:bookmarkEnd w:id="1"/>
    </w:p>
    <w:tbl>
      <w:tblPr>
        <w:tblStyle w:val="a"/>
        <w:tblW w:w="9397" w:type="dxa"/>
        <w:tblInd w:w="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3131"/>
        <w:gridCol w:w="3120"/>
        <w:gridCol w:w="3146"/>
      </w:tblGrid>
      <w:tr w:rsidR="00F35391" w:rsidRPr="00F35391" w14:paraId="68EA68A8" w14:textId="77777777">
        <w:tc>
          <w:tcPr>
            <w:tcW w:w="3131" w:type="dxa"/>
            <w:shd w:val="clear" w:color="auto" w:fill="BFBFBF"/>
            <w:vAlign w:val="center"/>
          </w:tcPr>
          <w:p w14:paraId="06741D53" w14:textId="77777777" w:rsidR="00C57AAF" w:rsidRPr="00F35391" w:rsidRDefault="00A95325">
            <w:pPr>
              <w:jc w:val="center"/>
              <w:rPr>
                <w:rFonts w:ascii="Arial" w:eastAsia="Arial Narrow" w:hAnsi="Arial" w:cs="Arial"/>
                <w:b/>
                <w:sz w:val="18"/>
                <w:szCs w:val="18"/>
              </w:rPr>
            </w:pPr>
            <w:r w:rsidRPr="00F35391">
              <w:rPr>
                <w:rFonts w:ascii="Arial" w:eastAsia="Arial Narrow" w:hAnsi="Arial" w:cs="Arial"/>
                <w:b/>
                <w:sz w:val="18"/>
                <w:szCs w:val="18"/>
              </w:rPr>
              <w:t>Línea de Inversión</w:t>
            </w:r>
          </w:p>
        </w:tc>
        <w:tc>
          <w:tcPr>
            <w:tcW w:w="3120" w:type="dxa"/>
            <w:shd w:val="clear" w:color="auto" w:fill="BFBFBF"/>
            <w:vAlign w:val="center"/>
          </w:tcPr>
          <w:p w14:paraId="2F95A9A2" w14:textId="77777777" w:rsidR="00C57AAF" w:rsidRPr="00F35391" w:rsidRDefault="00A95325">
            <w:pPr>
              <w:jc w:val="center"/>
              <w:rPr>
                <w:rFonts w:ascii="Arial" w:eastAsia="Arial Narrow" w:hAnsi="Arial" w:cs="Arial"/>
                <w:b/>
                <w:sz w:val="18"/>
                <w:szCs w:val="18"/>
              </w:rPr>
            </w:pPr>
            <w:r w:rsidRPr="00F35391">
              <w:rPr>
                <w:rFonts w:ascii="Arial" w:eastAsia="Arial Narrow" w:hAnsi="Arial" w:cs="Arial"/>
                <w:b/>
                <w:sz w:val="18"/>
                <w:szCs w:val="18"/>
              </w:rPr>
              <w:t>Concepto de Gasto</w:t>
            </w:r>
          </w:p>
        </w:tc>
        <w:tc>
          <w:tcPr>
            <w:tcW w:w="3146" w:type="dxa"/>
            <w:shd w:val="clear" w:color="auto" w:fill="BFBFBF"/>
            <w:vAlign w:val="center"/>
          </w:tcPr>
          <w:p w14:paraId="1B997356" w14:textId="77777777" w:rsidR="00C57AAF" w:rsidRPr="00F35391" w:rsidRDefault="00A95325">
            <w:pPr>
              <w:jc w:val="center"/>
              <w:rPr>
                <w:rFonts w:ascii="Arial" w:eastAsia="Arial Narrow" w:hAnsi="Arial" w:cs="Arial"/>
                <w:b/>
                <w:sz w:val="18"/>
                <w:szCs w:val="18"/>
              </w:rPr>
            </w:pPr>
            <w:r w:rsidRPr="00F35391">
              <w:rPr>
                <w:rFonts w:ascii="Arial" w:eastAsia="Arial Narrow" w:hAnsi="Arial" w:cs="Arial"/>
                <w:b/>
                <w:sz w:val="18"/>
                <w:szCs w:val="18"/>
              </w:rPr>
              <w:t>Entidad</w:t>
            </w:r>
          </w:p>
        </w:tc>
      </w:tr>
      <w:tr w:rsidR="00F35391" w:rsidRPr="00F35391" w14:paraId="2E1AADCB" w14:textId="77777777">
        <w:tc>
          <w:tcPr>
            <w:tcW w:w="3131" w:type="dxa"/>
            <w:vMerge w:val="restart"/>
            <w:vAlign w:val="center"/>
          </w:tcPr>
          <w:p w14:paraId="03BDDAA3" w14:textId="7777777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Desarrollo Social y Cultural</w:t>
            </w:r>
          </w:p>
        </w:tc>
        <w:tc>
          <w:tcPr>
            <w:tcW w:w="3120" w:type="dxa"/>
          </w:tcPr>
          <w:p w14:paraId="25795E62"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Apoyo y fortalecimiento a las industrias culturales y creativas en las localidades</w:t>
            </w:r>
          </w:p>
        </w:tc>
        <w:tc>
          <w:tcPr>
            <w:tcW w:w="3146" w:type="dxa"/>
            <w:vAlign w:val="center"/>
          </w:tcPr>
          <w:p w14:paraId="3C268DCC" w14:textId="234C71B2"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 xml:space="preserve">SCRD - Subsecretaría de Gobernanza. </w:t>
            </w:r>
            <w:r w:rsidR="000D5B0E">
              <w:rPr>
                <w:rFonts w:ascii="Arial" w:eastAsia="Arial Narrow" w:hAnsi="Arial" w:cs="Arial"/>
                <w:sz w:val="18"/>
                <w:szCs w:val="18"/>
                <w:highlight w:val="white"/>
              </w:rPr>
              <w:t>Dirección de E</w:t>
            </w:r>
            <w:r w:rsidRPr="00F35391">
              <w:rPr>
                <w:rFonts w:ascii="Arial" w:eastAsia="Arial Narrow" w:hAnsi="Arial" w:cs="Arial"/>
                <w:sz w:val="18"/>
                <w:szCs w:val="18"/>
                <w:highlight w:val="white"/>
              </w:rPr>
              <w:t>conomía</w:t>
            </w:r>
            <w:r w:rsidR="000D5B0E">
              <w:rPr>
                <w:rFonts w:ascii="Arial" w:eastAsia="Arial Narrow" w:hAnsi="Arial" w:cs="Arial"/>
                <w:sz w:val="18"/>
                <w:szCs w:val="18"/>
                <w:highlight w:val="white"/>
              </w:rPr>
              <w:t>, Estudios y Política</w:t>
            </w:r>
          </w:p>
        </w:tc>
      </w:tr>
      <w:tr w:rsidR="00F35391" w:rsidRPr="00F35391" w14:paraId="6A7603A0" w14:textId="77777777">
        <w:tc>
          <w:tcPr>
            <w:tcW w:w="3131" w:type="dxa"/>
            <w:vMerge/>
            <w:vAlign w:val="center"/>
          </w:tcPr>
          <w:p w14:paraId="508A00B0" w14:textId="77777777" w:rsidR="00C57AAF" w:rsidRPr="00F35391" w:rsidRDefault="00C57AAF">
            <w:pPr>
              <w:widowControl w:val="0"/>
              <w:pBdr>
                <w:top w:val="nil"/>
                <w:left w:val="nil"/>
                <w:bottom w:val="nil"/>
                <w:right w:val="nil"/>
                <w:between w:val="nil"/>
              </w:pBdr>
              <w:spacing w:line="276" w:lineRule="auto"/>
              <w:rPr>
                <w:rFonts w:ascii="Arial" w:eastAsia="Arial Narrow" w:hAnsi="Arial" w:cs="Arial"/>
                <w:sz w:val="18"/>
                <w:szCs w:val="18"/>
                <w:highlight w:val="white"/>
              </w:rPr>
            </w:pPr>
          </w:p>
        </w:tc>
        <w:tc>
          <w:tcPr>
            <w:tcW w:w="3120" w:type="dxa"/>
          </w:tcPr>
          <w:p w14:paraId="594945C4"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Circulación y apropiación de prácticas artísticas, interculturales, culturales y patrimoniales.</w:t>
            </w:r>
          </w:p>
        </w:tc>
        <w:tc>
          <w:tcPr>
            <w:tcW w:w="3146" w:type="dxa"/>
            <w:vAlign w:val="center"/>
          </w:tcPr>
          <w:p w14:paraId="6B064445" w14:textId="7777777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SCRD - Subdirección de Arte, Cultura y Patrimonio - Dirección de Asuntos Locales y Participación</w:t>
            </w:r>
          </w:p>
        </w:tc>
      </w:tr>
      <w:tr w:rsidR="00F35391" w:rsidRPr="00F35391" w14:paraId="6B92C598" w14:textId="77777777">
        <w:tc>
          <w:tcPr>
            <w:tcW w:w="3131" w:type="dxa"/>
            <w:vMerge/>
            <w:vAlign w:val="center"/>
          </w:tcPr>
          <w:p w14:paraId="4C75F501" w14:textId="77777777" w:rsidR="00C57AAF" w:rsidRPr="00F35391" w:rsidRDefault="00C57AAF">
            <w:pPr>
              <w:widowControl w:val="0"/>
              <w:pBdr>
                <w:top w:val="nil"/>
                <w:left w:val="nil"/>
                <w:bottom w:val="nil"/>
                <w:right w:val="nil"/>
                <w:between w:val="nil"/>
              </w:pBdr>
              <w:spacing w:line="276" w:lineRule="auto"/>
              <w:rPr>
                <w:rFonts w:ascii="Arial" w:eastAsia="Arial Narrow" w:hAnsi="Arial" w:cs="Arial"/>
                <w:sz w:val="18"/>
                <w:szCs w:val="18"/>
                <w:highlight w:val="white"/>
              </w:rPr>
            </w:pPr>
          </w:p>
        </w:tc>
        <w:tc>
          <w:tcPr>
            <w:tcW w:w="3120" w:type="dxa"/>
          </w:tcPr>
          <w:p w14:paraId="64450612"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Iniciativas de interés cultural, artístico, patrimonial y recreo deportivas.</w:t>
            </w:r>
          </w:p>
        </w:tc>
        <w:tc>
          <w:tcPr>
            <w:tcW w:w="3146" w:type="dxa"/>
            <w:vAlign w:val="center"/>
          </w:tcPr>
          <w:p w14:paraId="4706D128" w14:textId="7777777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SCRD - Dirección de Fomento</w:t>
            </w:r>
          </w:p>
        </w:tc>
      </w:tr>
      <w:tr w:rsidR="00F35391" w:rsidRPr="00F35391" w14:paraId="461C7A20" w14:textId="77777777">
        <w:tc>
          <w:tcPr>
            <w:tcW w:w="3131" w:type="dxa"/>
            <w:vMerge/>
            <w:vAlign w:val="center"/>
          </w:tcPr>
          <w:p w14:paraId="78B33ECB" w14:textId="77777777" w:rsidR="00C57AAF" w:rsidRPr="00F35391" w:rsidRDefault="00C57AAF">
            <w:pPr>
              <w:widowControl w:val="0"/>
              <w:pBdr>
                <w:top w:val="nil"/>
                <w:left w:val="nil"/>
                <w:bottom w:val="nil"/>
                <w:right w:val="nil"/>
                <w:between w:val="nil"/>
              </w:pBdr>
              <w:spacing w:line="276" w:lineRule="auto"/>
              <w:rPr>
                <w:rFonts w:ascii="Arial" w:eastAsia="Arial Narrow" w:hAnsi="Arial" w:cs="Arial"/>
                <w:sz w:val="18"/>
                <w:szCs w:val="18"/>
                <w:highlight w:val="white"/>
              </w:rPr>
            </w:pPr>
          </w:p>
        </w:tc>
        <w:tc>
          <w:tcPr>
            <w:tcW w:w="3120" w:type="dxa"/>
          </w:tcPr>
          <w:p w14:paraId="0F7CE537"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Procesos de formación y dotación de insumos para los campos artísticos, interculturales, culturales, patrimoniales y deportivos.</w:t>
            </w:r>
          </w:p>
        </w:tc>
        <w:tc>
          <w:tcPr>
            <w:tcW w:w="3146" w:type="dxa"/>
            <w:vAlign w:val="center"/>
          </w:tcPr>
          <w:p w14:paraId="45721F02" w14:textId="0626283E"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 xml:space="preserve">SCRD - Subdirección de </w:t>
            </w:r>
            <w:r w:rsidR="000D5B0E">
              <w:rPr>
                <w:rFonts w:ascii="Arial" w:eastAsia="Arial Narrow" w:hAnsi="Arial" w:cs="Arial"/>
                <w:sz w:val="18"/>
                <w:szCs w:val="18"/>
                <w:highlight w:val="white"/>
              </w:rPr>
              <w:t>Gestión Cultural y Artística</w:t>
            </w:r>
          </w:p>
        </w:tc>
      </w:tr>
      <w:tr w:rsidR="00F35391" w:rsidRPr="00F35391" w14:paraId="3505EE91" w14:textId="77777777">
        <w:tc>
          <w:tcPr>
            <w:tcW w:w="3131" w:type="dxa"/>
            <w:vAlign w:val="center"/>
          </w:tcPr>
          <w:p w14:paraId="4D85F4C4" w14:textId="77777777" w:rsidR="00C57AAF" w:rsidRPr="00F35391" w:rsidRDefault="00A95325">
            <w:pPr>
              <w:widowControl w:val="0"/>
              <w:pBdr>
                <w:top w:val="nil"/>
                <w:left w:val="nil"/>
                <w:bottom w:val="nil"/>
                <w:right w:val="nil"/>
                <w:between w:val="nil"/>
              </w:pBdr>
              <w:spacing w:line="276" w:lineRule="auto"/>
              <w:jc w:val="center"/>
              <w:rPr>
                <w:rFonts w:ascii="Arial" w:eastAsia="Arial Narrow" w:hAnsi="Arial" w:cs="Arial"/>
                <w:sz w:val="18"/>
                <w:szCs w:val="18"/>
                <w:highlight w:val="white"/>
              </w:rPr>
            </w:pPr>
            <w:r w:rsidRPr="00F35391">
              <w:rPr>
                <w:rFonts w:ascii="Arial" w:eastAsia="Arial Narrow" w:hAnsi="Arial" w:cs="Arial"/>
                <w:sz w:val="18"/>
                <w:szCs w:val="18"/>
                <w:highlight w:val="white"/>
              </w:rPr>
              <w:t>Infraestructura</w:t>
            </w:r>
          </w:p>
        </w:tc>
        <w:tc>
          <w:tcPr>
            <w:tcW w:w="3120" w:type="dxa"/>
          </w:tcPr>
          <w:p w14:paraId="270BE68F"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Dotación e infraestructura cultural</w:t>
            </w:r>
          </w:p>
        </w:tc>
        <w:tc>
          <w:tcPr>
            <w:tcW w:w="3146" w:type="dxa"/>
            <w:vAlign w:val="center"/>
          </w:tcPr>
          <w:p w14:paraId="0E98D03F" w14:textId="2BA9135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 xml:space="preserve">SCRD - Subdirección de Infraestructura </w:t>
            </w:r>
            <w:r w:rsidR="000D5B0E">
              <w:rPr>
                <w:rFonts w:ascii="Arial" w:eastAsia="Arial Narrow" w:hAnsi="Arial" w:cs="Arial"/>
                <w:sz w:val="18"/>
                <w:szCs w:val="18"/>
                <w:highlight w:val="white"/>
              </w:rPr>
              <w:t xml:space="preserve">y Patrimonio </w:t>
            </w:r>
            <w:r w:rsidRPr="00F35391">
              <w:rPr>
                <w:rFonts w:ascii="Arial" w:eastAsia="Arial Narrow" w:hAnsi="Arial" w:cs="Arial"/>
                <w:sz w:val="18"/>
                <w:szCs w:val="18"/>
                <w:highlight w:val="white"/>
              </w:rPr>
              <w:t>Cultura</w:t>
            </w:r>
            <w:r w:rsidR="000D5B0E">
              <w:rPr>
                <w:rFonts w:ascii="Arial" w:eastAsia="Arial Narrow" w:hAnsi="Arial" w:cs="Arial"/>
                <w:sz w:val="18"/>
                <w:szCs w:val="18"/>
                <w:highlight w:val="white"/>
              </w:rPr>
              <w:t>l</w:t>
            </w:r>
          </w:p>
          <w:p w14:paraId="1779C1A1" w14:textId="77777777" w:rsidR="00C57AAF" w:rsidRPr="00F35391" w:rsidRDefault="00C57AAF">
            <w:pPr>
              <w:jc w:val="center"/>
              <w:rPr>
                <w:rFonts w:ascii="Arial" w:eastAsia="Arial Narrow" w:hAnsi="Arial" w:cs="Arial"/>
                <w:sz w:val="18"/>
                <w:szCs w:val="18"/>
                <w:highlight w:val="white"/>
              </w:rPr>
            </w:pPr>
          </w:p>
        </w:tc>
      </w:tr>
    </w:tbl>
    <w:p w14:paraId="3F9E098B" w14:textId="77777777" w:rsidR="00C57AAF" w:rsidRPr="00126A07" w:rsidRDefault="00C57AAF">
      <w:pPr>
        <w:ind w:right="424"/>
        <w:jc w:val="both"/>
        <w:rPr>
          <w:rFonts w:ascii="Arial" w:eastAsia="Calibri" w:hAnsi="Arial" w:cs="Arial"/>
          <w:sz w:val="22"/>
          <w:szCs w:val="22"/>
        </w:rPr>
      </w:pPr>
    </w:p>
    <w:p w14:paraId="2CE0DD4F" w14:textId="77777777" w:rsidR="00C57AAF" w:rsidRPr="00126A07" w:rsidRDefault="00A95325">
      <w:pPr>
        <w:ind w:right="424"/>
        <w:jc w:val="both"/>
        <w:rPr>
          <w:rFonts w:ascii="Arial" w:eastAsia="Calibri" w:hAnsi="Arial" w:cs="Arial"/>
          <w:b/>
          <w:sz w:val="22"/>
          <w:szCs w:val="22"/>
          <w:u w:val="single"/>
        </w:rPr>
      </w:pPr>
      <w:r w:rsidRPr="00126A07">
        <w:rPr>
          <w:rFonts w:ascii="Arial" w:eastAsia="Calibri" w:hAnsi="Arial" w:cs="Arial"/>
          <w:b/>
          <w:sz w:val="22"/>
          <w:szCs w:val="22"/>
          <w:u w:val="single"/>
        </w:rPr>
        <w:t>ESQUEMA DE ACOMPAÑAMIENTO</w:t>
      </w:r>
    </w:p>
    <w:p w14:paraId="4996E1F0" w14:textId="77777777" w:rsidR="00C57AAF" w:rsidRPr="00126A07" w:rsidRDefault="00C57AAF">
      <w:pPr>
        <w:ind w:right="424"/>
        <w:jc w:val="both"/>
        <w:rPr>
          <w:rFonts w:ascii="Arial" w:eastAsia="Calibri" w:hAnsi="Arial" w:cs="Arial"/>
          <w:i/>
          <w:sz w:val="22"/>
          <w:szCs w:val="22"/>
        </w:rPr>
      </w:pPr>
    </w:p>
    <w:p w14:paraId="3C667D8B" w14:textId="77777777" w:rsidR="00C57AAF" w:rsidRPr="00126A07" w:rsidRDefault="00A95325">
      <w:pPr>
        <w:numPr>
          <w:ilvl w:val="0"/>
          <w:numId w:val="1"/>
        </w:numPr>
        <w:jc w:val="both"/>
        <w:rPr>
          <w:rFonts w:ascii="Arial" w:hAnsi="Arial" w:cs="Arial"/>
          <w:i/>
          <w:sz w:val="22"/>
          <w:szCs w:val="22"/>
        </w:rPr>
      </w:pPr>
      <w:r w:rsidRPr="00126A07">
        <w:rPr>
          <w:rFonts w:ascii="Arial" w:eastAsia="Calibri" w:hAnsi="Arial" w:cs="Arial"/>
          <w:i/>
          <w:sz w:val="22"/>
          <w:szCs w:val="22"/>
        </w:rPr>
        <w:t xml:space="preserve">Fase 1. Identificación y caracterización:  </w:t>
      </w:r>
    </w:p>
    <w:p w14:paraId="42EB10AB" w14:textId="77777777" w:rsidR="00C57AAF" w:rsidRPr="00126A07" w:rsidRDefault="00C57AAF">
      <w:pPr>
        <w:jc w:val="both"/>
        <w:rPr>
          <w:rFonts w:ascii="Arial" w:eastAsia="Calibri" w:hAnsi="Arial" w:cs="Arial"/>
          <w:i/>
          <w:sz w:val="22"/>
          <w:szCs w:val="22"/>
        </w:rPr>
      </w:pPr>
    </w:p>
    <w:p w14:paraId="4EEB3B6C" w14:textId="6A00E4C6"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 xml:space="preserve">Acompañamiento técnico en las etapas previas a la formulación del proyecto. Apoyo en la caracterización de las problemáticas, necesidades y oportunidades del campo cultural, en el marco de los Conceptos de Gasto liderados por el Sector, a fin de elaborar, ajustar y/o armonizar los criterios técnicos para la formulación de proyectos; esta </w:t>
      </w:r>
      <w:r w:rsidR="00F35391" w:rsidRPr="00126A07">
        <w:rPr>
          <w:rFonts w:ascii="Arial" w:eastAsia="Calibri" w:hAnsi="Arial" w:cs="Arial"/>
          <w:sz w:val="22"/>
          <w:szCs w:val="22"/>
        </w:rPr>
        <w:t>fase se</w:t>
      </w:r>
      <w:r w:rsidRPr="00126A07">
        <w:rPr>
          <w:rFonts w:ascii="Arial" w:eastAsia="Calibri" w:hAnsi="Arial" w:cs="Arial"/>
          <w:sz w:val="22"/>
          <w:szCs w:val="22"/>
        </w:rPr>
        <w:t xml:space="preserve"> adelantará a través de los profesionales de gestión cultural </w:t>
      </w:r>
      <w:r w:rsidR="00F35391" w:rsidRPr="00126A07">
        <w:rPr>
          <w:rFonts w:ascii="Arial" w:eastAsia="Calibri" w:hAnsi="Arial" w:cs="Arial"/>
          <w:sz w:val="22"/>
          <w:szCs w:val="22"/>
        </w:rPr>
        <w:t>territorial y</w:t>
      </w:r>
      <w:r w:rsidRPr="00126A07">
        <w:rPr>
          <w:rFonts w:ascii="Arial" w:eastAsia="Calibri" w:hAnsi="Arial" w:cs="Arial"/>
          <w:sz w:val="22"/>
          <w:szCs w:val="22"/>
        </w:rPr>
        <w:t xml:space="preserve">/o delegados por parte de las áreas técnicas de la SCRD. </w:t>
      </w:r>
    </w:p>
    <w:p w14:paraId="31538D21" w14:textId="77777777" w:rsidR="00C57AAF" w:rsidRPr="00126A07" w:rsidRDefault="00C57AAF">
      <w:pPr>
        <w:jc w:val="both"/>
        <w:rPr>
          <w:rFonts w:ascii="Arial" w:eastAsia="Calibri" w:hAnsi="Arial" w:cs="Arial"/>
          <w:i/>
          <w:sz w:val="22"/>
          <w:szCs w:val="22"/>
        </w:rPr>
      </w:pPr>
    </w:p>
    <w:p w14:paraId="6D59FE3B" w14:textId="77777777" w:rsidR="00C57AAF" w:rsidRPr="00126A07" w:rsidRDefault="00A95325">
      <w:pPr>
        <w:numPr>
          <w:ilvl w:val="0"/>
          <w:numId w:val="1"/>
        </w:numPr>
        <w:jc w:val="both"/>
        <w:rPr>
          <w:rFonts w:ascii="Arial" w:hAnsi="Arial" w:cs="Arial"/>
          <w:i/>
          <w:sz w:val="22"/>
          <w:szCs w:val="22"/>
        </w:rPr>
      </w:pPr>
      <w:r w:rsidRPr="00126A07">
        <w:rPr>
          <w:rFonts w:ascii="Arial" w:eastAsia="Calibri" w:hAnsi="Arial" w:cs="Arial"/>
          <w:i/>
          <w:sz w:val="22"/>
          <w:szCs w:val="22"/>
        </w:rPr>
        <w:t xml:space="preserve">Fase 2. Formulación de proyectos </w:t>
      </w:r>
    </w:p>
    <w:p w14:paraId="307B1612" w14:textId="77777777" w:rsidR="00C57AAF" w:rsidRPr="00126A07" w:rsidRDefault="00C57AAF">
      <w:pPr>
        <w:jc w:val="both"/>
        <w:rPr>
          <w:rFonts w:ascii="Arial" w:eastAsia="Calibri" w:hAnsi="Arial" w:cs="Arial"/>
          <w:i/>
          <w:sz w:val="22"/>
          <w:szCs w:val="22"/>
        </w:rPr>
      </w:pPr>
    </w:p>
    <w:p w14:paraId="7D0A7518" w14:textId="5F497DDF"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 xml:space="preserve">Acompañamiento técnico en la formulación de los proyectos de inversión local, mediante mesas </w:t>
      </w:r>
      <w:r w:rsidR="00126A07" w:rsidRPr="00126A07">
        <w:rPr>
          <w:rFonts w:ascii="Arial" w:eastAsia="Calibri" w:hAnsi="Arial" w:cs="Arial"/>
          <w:sz w:val="22"/>
          <w:szCs w:val="22"/>
        </w:rPr>
        <w:t>técnicas de</w:t>
      </w:r>
      <w:r w:rsidRPr="00126A07">
        <w:rPr>
          <w:rFonts w:ascii="Arial" w:eastAsia="Calibri" w:hAnsi="Arial" w:cs="Arial"/>
          <w:sz w:val="22"/>
          <w:szCs w:val="22"/>
        </w:rPr>
        <w:t xml:space="preserve"> trabajo entre los profesionales de gestión cultural territorial</w:t>
      </w:r>
      <w:r w:rsidR="00F35391">
        <w:rPr>
          <w:rFonts w:ascii="Arial" w:eastAsia="Calibri" w:hAnsi="Arial" w:cs="Arial"/>
          <w:sz w:val="22"/>
          <w:szCs w:val="22"/>
        </w:rPr>
        <w:t xml:space="preserve"> </w:t>
      </w:r>
      <w:r w:rsidRPr="00126A07">
        <w:rPr>
          <w:rFonts w:ascii="Arial" w:eastAsia="Calibri" w:hAnsi="Arial" w:cs="Arial"/>
          <w:sz w:val="22"/>
          <w:szCs w:val="22"/>
        </w:rPr>
        <w:t xml:space="preserve">y/o delegados por parte de las áreas técnicas responsables de cada concepto de gasto y la </w:t>
      </w:r>
      <w:r w:rsidR="00B149BD">
        <w:rPr>
          <w:rFonts w:ascii="Arial" w:eastAsia="Calibri" w:hAnsi="Arial" w:cs="Arial"/>
          <w:sz w:val="22"/>
          <w:szCs w:val="22"/>
        </w:rPr>
        <w:t>Oficina Asesora</w:t>
      </w:r>
      <w:r w:rsidRPr="00126A07">
        <w:rPr>
          <w:rFonts w:ascii="Arial" w:eastAsia="Calibri" w:hAnsi="Arial" w:cs="Arial"/>
          <w:sz w:val="22"/>
          <w:szCs w:val="22"/>
        </w:rPr>
        <w:t xml:space="preserve"> de Planeación de SCRD, en los casos que se requiera su asesoría. En el proceso de estructuración de los proyectos se contará con la participación de los Consejos Locales de Arte, Cultura y Patrimonio. </w:t>
      </w:r>
    </w:p>
    <w:p w14:paraId="153B21A4" w14:textId="77777777" w:rsidR="00C57AAF" w:rsidRPr="00126A07" w:rsidRDefault="00C57AAF">
      <w:pPr>
        <w:jc w:val="both"/>
        <w:rPr>
          <w:rFonts w:ascii="Arial" w:eastAsia="Calibri" w:hAnsi="Arial" w:cs="Arial"/>
          <w:sz w:val="22"/>
          <w:szCs w:val="22"/>
        </w:rPr>
      </w:pPr>
    </w:p>
    <w:p w14:paraId="1886573D" w14:textId="1CB986E7" w:rsidR="00C57AAF" w:rsidRPr="00FF5D11" w:rsidRDefault="00A95325">
      <w:pPr>
        <w:numPr>
          <w:ilvl w:val="0"/>
          <w:numId w:val="1"/>
        </w:numPr>
        <w:jc w:val="both"/>
        <w:rPr>
          <w:rFonts w:ascii="Arial" w:hAnsi="Arial" w:cs="Arial"/>
          <w:i/>
          <w:sz w:val="22"/>
          <w:szCs w:val="22"/>
        </w:rPr>
      </w:pPr>
      <w:r w:rsidRPr="00FF5D11">
        <w:rPr>
          <w:rFonts w:ascii="Arial" w:eastAsia="Calibri" w:hAnsi="Arial" w:cs="Arial"/>
          <w:i/>
          <w:sz w:val="22"/>
          <w:szCs w:val="22"/>
        </w:rPr>
        <w:t xml:space="preserve">Fase 3. </w:t>
      </w:r>
      <w:r w:rsidR="00DC0341" w:rsidRPr="00FF5D11">
        <w:rPr>
          <w:rFonts w:ascii="Arial" w:eastAsia="Calibri" w:hAnsi="Arial" w:cs="Arial"/>
          <w:i/>
          <w:sz w:val="22"/>
          <w:szCs w:val="22"/>
        </w:rPr>
        <w:t>Asesoría y Asistencia Técnica a Proyectos de los FDL</w:t>
      </w:r>
    </w:p>
    <w:p w14:paraId="74CD7DA6" w14:textId="77777777" w:rsidR="00C57AAF" w:rsidRPr="00FF5D11" w:rsidRDefault="00C57AAF">
      <w:pPr>
        <w:jc w:val="both"/>
        <w:rPr>
          <w:rFonts w:ascii="Arial" w:eastAsia="Calibri" w:hAnsi="Arial" w:cs="Arial"/>
          <w:sz w:val="22"/>
          <w:szCs w:val="22"/>
        </w:rPr>
      </w:pPr>
    </w:p>
    <w:p w14:paraId="4FB08FE8" w14:textId="75F10E31" w:rsidR="00C57AAF" w:rsidRDefault="002218D2" w:rsidP="002218D2">
      <w:pPr>
        <w:jc w:val="both"/>
        <w:rPr>
          <w:rFonts w:ascii="Arial" w:eastAsia="Calibri" w:hAnsi="Arial" w:cs="Arial"/>
          <w:sz w:val="22"/>
          <w:szCs w:val="22"/>
        </w:rPr>
      </w:pPr>
      <w:r>
        <w:rPr>
          <w:rFonts w:ascii="Arial" w:eastAsia="Calibri" w:hAnsi="Arial" w:cs="Arial"/>
          <w:sz w:val="22"/>
          <w:szCs w:val="22"/>
        </w:rPr>
        <w:t>A</w:t>
      </w:r>
      <w:r w:rsidRPr="002218D2">
        <w:rPr>
          <w:rFonts w:ascii="Arial" w:eastAsia="Calibri" w:hAnsi="Arial" w:cs="Arial"/>
          <w:sz w:val="22"/>
          <w:szCs w:val="22"/>
        </w:rPr>
        <w:t>sesoría y asistencia técnica para la formulación y seguimiento de los proyectos con cargo a los presupuestos de los Fondos de Desarrollo Local - FDL a través de la revisión de los documentos técnicos de soporte presentados por las Alcaldías Locales</w:t>
      </w:r>
      <w:r>
        <w:rPr>
          <w:rFonts w:ascii="Arial" w:eastAsia="Calibri" w:hAnsi="Arial" w:cs="Arial"/>
          <w:sz w:val="22"/>
          <w:szCs w:val="22"/>
        </w:rPr>
        <w:t xml:space="preserve">, esto mediante </w:t>
      </w:r>
      <w:r w:rsidRPr="002218D2">
        <w:rPr>
          <w:rFonts w:ascii="Arial" w:eastAsia="Calibri" w:hAnsi="Arial" w:cs="Arial"/>
          <w:sz w:val="22"/>
          <w:szCs w:val="22"/>
        </w:rPr>
        <w:t>acompañamiento y asesoría a la formulación de los proyectos locales previa solicitud del F</w:t>
      </w:r>
      <w:r>
        <w:rPr>
          <w:rFonts w:ascii="Arial" w:eastAsia="Calibri" w:hAnsi="Arial" w:cs="Arial"/>
          <w:sz w:val="22"/>
          <w:szCs w:val="22"/>
        </w:rPr>
        <w:t xml:space="preserve">ondo de </w:t>
      </w:r>
      <w:r w:rsidRPr="002218D2">
        <w:rPr>
          <w:rFonts w:ascii="Arial" w:eastAsia="Calibri" w:hAnsi="Arial" w:cs="Arial"/>
          <w:sz w:val="22"/>
          <w:szCs w:val="22"/>
        </w:rPr>
        <w:t>D</w:t>
      </w:r>
      <w:r>
        <w:rPr>
          <w:rFonts w:ascii="Arial" w:eastAsia="Calibri" w:hAnsi="Arial" w:cs="Arial"/>
          <w:sz w:val="22"/>
          <w:szCs w:val="22"/>
        </w:rPr>
        <w:t xml:space="preserve">esarrollo </w:t>
      </w:r>
      <w:r w:rsidRPr="002218D2">
        <w:rPr>
          <w:rFonts w:ascii="Arial" w:eastAsia="Calibri" w:hAnsi="Arial" w:cs="Arial"/>
          <w:sz w:val="22"/>
          <w:szCs w:val="22"/>
        </w:rPr>
        <w:t>L</w:t>
      </w:r>
      <w:r>
        <w:rPr>
          <w:rFonts w:ascii="Arial" w:eastAsia="Calibri" w:hAnsi="Arial" w:cs="Arial"/>
          <w:sz w:val="22"/>
          <w:szCs w:val="22"/>
        </w:rPr>
        <w:t>ocal</w:t>
      </w:r>
      <w:r w:rsidRPr="002218D2">
        <w:rPr>
          <w:rFonts w:ascii="Arial" w:eastAsia="Calibri" w:hAnsi="Arial" w:cs="Arial"/>
          <w:sz w:val="22"/>
          <w:szCs w:val="22"/>
        </w:rPr>
        <w:t>, recepción y verificación de los documentos remitidos por la Alcaldía Local, revisión técnica según los criterios de viabilidad y elegibilidad establecidos por la SCRD y finaliza con el seguimiento a los proyectos locales.</w:t>
      </w:r>
    </w:p>
    <w:p w14:paraId="6871058B" w14:textId="77777777" w:rsidR="002218D2" w:rsidRPr="00126A07" w:rsidRDefault="002218D2" w:rsidP="002218D2">
      <w:pPr>
        <w:jc w:val="both"/>
        <w:rPr>
          <w:rFonts w:ascii="Arial" w:eastAsia="Calibri" w:hAnsi="Arial" w:cs="Arial"/>
          <w:sz w:val="22"/>
          <w:szCs w:val="22"/>
        </w:rPr>
      </w:pPr>
    </w:p>
    <w:p w14:paraId="438D855B" w14:textId="77777777" w:rsidR="00C57AAF" w:rsidRPr="00126A07" w:rsidRDefault="00A95325">
      <w:pPr>
        <w:numPr>
          <w:ilvl w:val="0"/>
          <w:numId w:val="1"/>
        </w:numPr>
        <w:jc w:val="both"/>
        <w:rPr>
          <w:rFonts w:ascii="Arial" w:hAnsi="Arial" w:cs="Arial"/>
          <w:i/>
          <w:sz w:val="22"/>
          <w:szCs w:val="22"/>
        </w:rPr>
      </w:pPr>
      <w:r w:rsidRPr="00126A07">
        <w:rPr>
          <w:rFonts w:ascii="Arial" w:eastAsia="Calibri" w:hAnsi="Arial" w:cs="Arial"/>
          <w:i/>
          <w:sz w:val="22"/>
          <w:szCs w:val="22"/>
        </w:rPr>
        <w:lastRenderedPageBreak/>
        <w:t xml:space="preserve">Fase 4.  Ejecución </w:t>
      </w:r>
    </w:p>
    <w:p w14:paraId="2741D83D" w14:textId="77777777" w:rsidR="00C57AAF" w:rsidRPr="00126A07" w:rsidRDefault="00C57AAF">
      <w:pPr>
        <w:jc w:val="both"/>
        <w:rPr>
          <w:rFonts w:ascii="Arial" w:eastAsia="Calibri" w:hAnsi="Arial" w:cs="Arial"/>
          <w:i/>
          <w:sz w:val="22"/>
          <w:szCs w:val="22"/>
        </w:rPr>
      </w:pPr>
    </w:p>
    <w:p w14:paraId="24117062" w14:textId="00EB3B41"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 xml:space="preserve">Una vez el proyecto cuente con </w:t>
      </w:r>
      <w:r w:rsidR="002218D2">
        <w:rPr>
          <w:rFonts w:ascii="Arial" w:eastAsia="Calibri" w:hAnsi="Arial" w:cs="Arial"/>
          <w:sz w:val="22"/>
          <w:szCs w:val="22"/>
        </w:rPr>
        <w:t>a</w:t>
      </w:r>
      <w:r w:rsidR="002218D2" w:rsidRPr="002218D2">
        <w:rPr>
          <w:rFonts w:ascii="Arial" w:eastAsia="Calibri" w:hAnsi="Arial" w:cs="Arial"/>
          <w:sz w:val="22"/>
          <w:szCs w:val="22"/>
        </w:rPr>
        <w:t>sesoría y asistencia técnica</w:t>
      </w:r>
      <w:r w:rsidR="002218D2">
        <w:rPr>
          <w:rFonts w:ascii="Arial" w:eastAsia="Calibri" w:hAnsi="Arial" w:cs="Arial"/>
          <w:sz w:val="22"/>
          <w:szCs w:val="22"/>
        </w:rPr>
        <w:t>,</w:t>
      </w:r>
      <w:r w:rsidR="002218D2" w:rsidRPr="00126A07">
        <w:rPr>
          <w:rFonts w:ascii="Arial" w:eastAsia="Calibri" w:hAnsi="Arial" w:cs="Arial"/>
          <w:sz w:val="22"/>
          <w:szCs w:val="22"/>
        </w:rPr>
        <w:t xml:space="preserve"> </w:t>
      </w:r>
      <w:r w:rsidRPr="00126A07">
        <w:rPr>
          <w:rFonts w:ascii="Arial" w:eastAsia="Calibri" w:hAnsi="Arial" w:cs="Arial"/>
          <w:sz w:val="22"/>
          <w:szCs w:val="22"/>
        </w:rPr>
        <w:t>los Fondos de Desarrollo Local realicen los trámites para el inicio de las actividades, los profesionales de enlace de SCRD, previa solicitud de la Alcaldía Local, acompañarán el Comité Técnico de ejecución del proyecto de inversión con el fin de brindar la asesoría técnica requerida para la implementación de la política pública cultural en cada territorio y facilitar la articulación con los agentes del campo cultural.</w:t>
      </w:r>
    </w:p>
    <w:p w14:paraId="4C11195F" w14:textId="77777777" w:rsidR="00C57AAF" w:rsidRPr="00126A07" w:rsidRDefault="00C57AAF">
      <w:pPr>
        <w:jc w:val="both"/>
        <w:rPr>
          <w:rFonts w:ascii="Arial" w:eastAsia="Calibri" w:hAnsi="Arial" w:cs="Arial"/>
          <w:sz w:val="22"/>
          <w:szCs w:val="22"/>
        </w:rPr>
      </w:pPr>
    </w:p>
    <w:p w14:paraId="47072D13" w14:textId="77777777" w:rsidR="00C57AAF" w:rsidRPr="00126A07" w:rsidRDefault="00A95325">
      <w:pPr>
        <w:numPr>
          <w:ilvl w:val="0"/>
          <w:numId w:val="1"/>
        </w:numPr>
        <w:spacing w:line="276" w:lineRule="auto"/>
        <w:jc w:val="both"/>
        <w:rPr>
          <w:rFonts w:ascii="Arial" w:eastAsia="Calibri" w:hAnsi="Arial" w:cs="Arial"/>
          <w:i/>
          <w:sz w:val="22"/>
          <w:szCs w:val="22"/>
        </w:rPr>
      </w:pPr>
      <w:r w:rsidRPr="00126A07">
        <w:rPr>
          <w:rFonts w:ascii="Arial" w:eastAsia="Calibri" w:hAnsi="Arial" w:cs="Arial"/>
          <w:i/>
          <w:sz w:val="22"/>
          <w:szCs w:val="22"/>
        </w:rPr>
        <w:t>Fase 5. Acompañamiento</w:t>
      </w:r>
    </w:p>
    <w:p w14:paraId="79590A64" w14:textId="77777777" w:rsidR="00C57AAF" w:rsidRPr="00126A07" w:rsidRDefault="00C57AAF">
      <w:pPr>
        <w:jc w:val="both"/>
        <w:rPr>
          <w:rFonts w:ascii="Arial" w:eastAsia="Calibri" w:hAnsi="Arial" w:cs="Arial"/>
          <w:sz w:val="22"/>
          <w:szCs w:val="22"/>
        </w:rPr>
      </w:pPr>
    </w:p>
    <w:p w14:paraId="67F08C05" w14:textId="6EC840FE" w:rsidR="00C57AAF" w:rsidRDefault="00A95325" w:rsidP="00D21009">
      <w:pPr>
        <w:spacing w:line="276" w:lineRule="auto"/>
        <w:ind w:right="51"/>
        <w:jc w:val="both"/>
        <w:rPr>
          <w:rFonts w:ascii="Arial" w:eastAsia="Calibri" w:hAnsi="Arial" w:cs="Arial"/>
          <w:sz w:val="22"/>
          <w:szCs w:val="22"/>
        </w:rPr>
      </w:pPr>
      <w:r w:rsidRPr="00126A07">
        <w:rPr>
          <w:rFonts w:ascii="Arial" w:eastAsia="Calibri" w:hAnsi="Arial" w:cs="Arial"/>
          <w:sz w:val="22"/>
          <w:szCs w:val="22"/>
        </w:rPr>
        <w:t xml:space="preserve">Los profesionales de gestión </w:t>
      </w:r>
      <w:r w:rsidR="00D21009" w:rsidRPr="00126A07">
        <w:rPr>
          <w:rFonts w:ascii="Arial" w:eastAsia="Calibri" w:hAnsi="Arial" w:cs="Arial"/>
          <w:sz w:val="22"/>
          <w:szCs w:val="22"/>
        </w:rPr>
        <w:t>cultural brindarán</w:t>
      </w:r>
      <w:r w:rsidRPr="00126A07">
        <w:rPr>
          <w:rFonts w:ascii="Arial" w:eastAsia="Calibri" w:hAnsi="Arial" w:cs="Arial"/>
          <w:sz w:val="22"/>
          <w:szCs w:val="22"/>
        </w:rPr>
        <w:t xml:space="preserve"> acompañamiento en el proceso de</w:t>
      </w:r>
      <w:r w:rsidR="00080E09">
        <w:rPr>
          <w:rFonts w:ascii="Arial" w:eastAsia="Calibri" w:hAnsi="Arial" w:cs="Arial"/>
          <w:sz w:val="22"/>
          <w:szCs w:val="22"/>
        </w:rPr>
        <w:t xml:space="preserve"> formulación y </w:t>
      </w:r>
      <w:r w:rsidRPr="00126A07">
        <w:rPr>
          <w:rFonts w:ascii="Arial" w:eastAsia="Calibri" w:hAnsi="Arial" w:cs="Arial"/>
          <w:sz w:val="22"/>
          <w:szCs w:val="22"/>
        </w:rPr>
        <w:t xml:space="preserve">ejecución y en las actividades que se desarrollen, según lo establecido por el Fondo de Desarrollo Local. </w:t>
      </w:r>
    </w:p>
    <w:p w14:paraId="13723BCC" w14:textId="77777777" w:rsidR="000E41B4" w:rsidRPr="00126A07" w:rsidRDefault="000E41B4" w:rsidP="00D21009">
      <w:pPr>
        <w:spacing w:line="276" w:lineRule="auto"/>
        <w:ind w:right="51"/>
        <w:jc w:val="both"/>
        <w:rPr>
          <w:rFonts w:ascii="Arial" w:eastAsia="Calibri" w:hAnsi="Arial" w:cs="Arial"/>
          <w:sz w:val="22"/>
          <w:szCs w:val="22"/>
        </w:rPr>
      </w:pPr>
    </w:p>
    <w:p w14:paraId="12389906" w14:textId="77777777" w:rsidR="00C57AAF" w:rsidRPr="00126A07" w:rsidRDefault="00C57AAF">
      <w:pPr>
        <w:spacing w:line="276" w:lineRule="auto"/>
        <w:ind w:right="420"/>
        <w:jc w:val="both"/>
        <w:rPr>
          <w:rFonts w:ascii="Arial" w:eastAsia="Calibri" w:hAnsi="Arial" w:cs="Arial"/>
          <w:sz w:val="22"/>
          <w:szCs w:val="22"/>
        </w:rPr>
      </w:pPr>
    </w:p>
    <w:p w14:paraId="27E61FA5" w14:textId="2D2F1B38" w:rsidR="00C57AAF" w:rsidRPr="00126A07" w:rsidRDefault="00A95325" w:rsidP="00067E5E">
      <w:pPr>
        <w:jc w:val="center"/>
        <w:rPr>
          <w:rFonts w:ascii="Arial" w:eastAsia="Calibri" w:hAnsi="Arial" w:cs="Arial"/>
          <w:sz w:val="22"/>
          <w:szCs w:val="22"/>
        </w:rPr>
      </w:pPr>
      <w:r w:rsidRPr="00126A07">
        <w:rPr>
          <w:rFonts w:ascii="Arial" w:eastAsia="Calibri" w:hAnsi="Arial" w:cs="Arial"/>
          <w:noProof/>
          <w:sz w:val="22"/>
          <w:szCs w:val="22"/>
        </w:rPr>
        <w:drawing>
          <wp:inline distT="114300" distB="114300" distL="114300" distR="114300" wp14:anchorId="4258BA75" wp14:editId="79092473">
            <wp:extent cx="5976924" cy="3177540"/>
            <wp:effectExtent l="0" t="0" r="508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6483" t="11051" r="5726" b="2463"/>
                    <a:stretch/>
                  </pic:blipFill>
                  <pic:spPr bwMode="auto">
                    <a:xfrm>
                      <a:off x="0" y="0"/>
                      <a:ext cx="6024109" cy="3202625"/>
                    </a:xfrm>
                    <a:prstGeom prst="rect">
                      <a:avLst/>
                    </a:prstGeom>
                    <a:ln>
                      <a:noFill/>
                    </a:ln>
                    <a:extLst>
                      <a:ext uri="{53640926-AAD7-44D8-BBD7-CCE9431645EC}">
                        <a14:shadowObscured xmlns:a14="http://schemas.microsoft.com/office/drawing/2010/main"/>
                      </a:ext>
                    </a:extLst>
                  </pic:spPr>
                </pic:pic>
              </a:graphicData>
            </a:graphic>
          </wp:inline>
        </w:drawing>
      </w:r>
    </w:p>
    <w:sectPr w:rsidR="00C57AAF" w:rsidRPr="00126A07" w:rsidSect="00CD6F03">
      <w:headerReference w:type="default" r:id="rId8"/>
      <w:footerReference w:type="even" r:id="rId9"/>
      <w:footerReference w:type="default" r:id="rId10"/>
      <w:pgSz w:w="12242" w:h="15842"/>
      <w:pgMar w:top="1134" w:right="1134" w:bottom="1134" w:left="1134" w:header="1134" w:footer="13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C82A" w14:textId="77777777" w:rsidR="00CC65EB" w:rsidRDefault="00CC65EB">
      <w:r>
        <w:separator/>
      </w:r>
    </w:p>
  </w:endnote>
  <w:endnote w:type="continuationSeparator" w:id="0">
    <w:p w14:paraId="77185CD2" w14:textId="77777777" w:rsidR="00CC65EB" w:rsidRDefault="00CC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Roman No9 L">
    <w:altName w:val="Calibri"/>
    <w:charset w:val="00"/>
    <w:family w:val="roman"/>
    <w:pitch w:val="default"/>
  </w:font>
  <w:font w:name="DejaVu Sans">
    <w:altName w:val="Verdana"/>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69E3" w14:textId="77777777" w:rsidR="00C57AAF" w:rsidRDefault="00A9532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73D9052D" w14:textId="77777777" w:rsidR="00C57AAF" w:rsidRDefault="00C57AA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1275" w14:textId="6DCE4B8F" w:rsidR="00C57AAF" w:rsidRDefault="003F2977" w:rsidP="003F2977">
    <w:pPr>
      <w:pStyle w:val="Piedepgina"/>
      <w:tabs>
        <w:tab w:val="right" w:pos="8789"/>
      </w:tabs>
      <w:ind w:right="310" w:hanging="2"/>
      <w:jc w:val="center"/>
      <w:rPr>
        <w:rFonts w:ascii="Roboto" w:eastAsia="Roboto" w:hAnsi="Roboto" w:cs="Roboto"/>
        <w:color w:val="000000"/>
        <w:sz w:val="17"/>
        <w:szCs w:val="17"/>
      </w:rPr>
    </w:pPr>
    <w:r>
      <w:rPr>
        <w:noProof/>
      </w:rPr>
      <w:drawing>
        <wp:anchor distT="0" distB="0" distL="114300" distR="114300" simplePos="0" relativeHeight="251660288" behindDoc="0" locked="0" layoutInCell="1" allowOverlap="1" wp14:anchorId="6632C287" wp14:editId="49137853">
          <wp:simplePos x="0" y="0"/>
          <wp:positionH relativeFrom="margin">
            <wp:posOffset>5266055</wp:posOffset>
          </wp:positionH>
          <wp:positionV relativeFrom="paragraph">
            <wp:posOffset>122555</wp:posOffset>
          </wp:positionV>
          <wp:extent cx="650240" cy="658495"/>
          <wp:effectExtent l="0" t="0" r="0" b="825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l="84012" t="6657"/>
                  <a:stretch>
                    <a:fillRect/>
                  </a:stretch>
                </pic:blipFill>
                <pic:spPr bwMode="auto">
                  <a:xfrm>
                    <a:off x="0" y="0"/>
                    <a:ext cx="65024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2B1789" wp14:editId="685CD7D2">
          <wp:simplePos x="0" y="0"/>
          <wp:positionH relativeFrom="margin">
            <wp:posOffset>-180975</wp:posOffset>
          </wp:positionH>
          <wp:positionV relativeFrom="paragraph">
            <wp:posOffset>57150</wp:posOffset>
          </wp:positionV>
          <wp:extent cx="2057400" cy="6572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t="11955" r="63341" b="13043"/>
                  <a:stretch>
                    <a:fillRect/>
                  </a:stretch>
                </pic:blipFill>
                <pic:spPr bwMode="auto">
                  <a:xfrm>
                    <a:off x="0" y="0"/>
                    <a:ext cx="2057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5AE">
      <w:rPr>
        <w:rFonts w:ascii="Arial" w:hAnsi="Arial" w:cs="Arial"/>
        <w:color w:val="000000"/>
        <w:sz w:val="16"/>
        <w:szCs w:val="16"/>
      </w:rPr>
      <w:t xml:space="preserve">Página </w:t>
    </w:r>
    <w:r w:rsidRPr="008045AE">
      <w:rPr>
        <w:rFonts w:ascii="Arial" w:hAnsi="Arial" w:cs="Arial"/>
        <w:b/>
        <w:bCs/>
        <w:color w:val="000000"/>
        <w:sz w:val="16"/>
        <w:szCs w:val="16"/>
      </w:rPr>
      <w:fldChar w:fldCharType="begin"/>
    </w:r>
    <w:r w:rsidRPr="008045AE">
      <w:rPr>
        <w:rFonts w:ascii="Arial" w:hAnsi="Arial" w:cs="Arial"/>
        <w:b/>
        <w:bCs/>
        <w:color w:val="000000"/>
        <w:sz w:val="16"/>
        <w:szCs w:val="16"/>
      </w:rPr>
      <w:instrText>PAGE  \* Arabic  \* MERGEFORMAT</w:instrText>
    </w:r>
    <w:r w:rsidRPr="008045AE">
      <w:rPr>
        <w:rFonts w:ascii="Arial" w:hAnsi="Arial" w:cs="Arial"/>
        <w:b/>
        <w:bCs/>
        <w:color w:val="000000"/>
        <w:sz w:val="16"/>
        <w:szCs w:val="16"/>
      </w:rPr>
      <w:fldChar w:fldCharType="separate"/>
    </w:r>
    <w:r>
      <w:rPr>
        <w:rFonts w:ascii="Arial" w:hAnsi="Arial" w:cs="Arial"/>
        <w:b/>
        <w:bCs/>
        <w:color w:val="000000"/>
        <w:sz w:val="16"/>
        <w:szCs w:val="16"/>
      </w:rPr>
      <w:t>1</w:t>
    </w:r>
    <w:r w:rsidRPr="008045AE">
      <w:rPr>
        <w:rFonts w:ascii="Arial" w:hAnsi="Arial" w:cs="Arial"/>
        <w:b/>
        <w:bCs/>
        <w:color w:val="000000"/>
        <w:sz w:val="16"/>
        <w:szCs w:val="16"/>
      </w:rPr>
      <w:fldChar w:fldCharType="end"/>
    </w:r>
    <w:r w:rsidRPr="008045AE">
      <w:rPr>
        <w:rFonts w:ascii="Arial" w:hAnsi="Arial" w:cs="Arial"/>
        <w:color w:val="000000"/>
        <w:sz w:val="16"/>
        <w:szCs w:val="16"/>
      </w:rPr>
      <w:t xml:space="preserve"> de </w:t>
    </w:r>
    <w:r w:rsidRPr="008045AE">
      <w:rPr>
        <w:rFonts w:ascii="Arial" w:hAnsi="Arial" w:cs="Arial"/>
        <w:b/>
        <w:bCs/>
        <w:color w:val="000000"/>
        <w:sz w:val="16"/>
        <w:szCs w:val="16"/>
      </w:rPr>
      <w:fldChar w:fldCharType="begin"/>
    </w:r>
    <w:r w:rsidRPr="008045AE">
      <w:rPr>
        <w:rFonts w:ascii="Arial" w:hAnsi="Arial" w:cs="Arial"/>
        <w:b/>
        <w:bCs/>
        <w:color w:val="000000"/>
        <w:sz w:val="16"/>
        <w:szCs w:val="16"/>
      </w:rPr>
      <w:instrText>NUMPAGES  \* Arabic  \* MERGEFORMAT</w:instrText>
    </w:r>
    <w:r w:rsidRPr="008045AE">
      <w:rPr>
        <w:rFonts w:ascii="Arial" w:hAnsi="Arial" w:cs="Arial"/>
        <w:b/>
        <w:bCs/>
        <w:color w:val="000000"/>
        <w:sz w:val="16"/>
        <w:szCs w:val="16"/>
      </w:rPr>
      <w:fldChar w:fldCharType="separate"/>
    </w:r>
    <w:r>
      <w:rPr>
        <w:rFonts w:ascii="Arial" w:hAnsi="Arial" w:cs="Arial"/>
        <w:b/>
        <w:bCs/>
        <w:color w:val="000000"/>
        <w:sz w:val="16"/>
        <w:szCs w:val="16"/>
      </w:rPr>
      <w:t>6</w:t>
    </w:r>
    <w:r w:rsidRPr="008045AE">
      <w:rPr>
        <w:rFonts w:ascii="Arial" w:hAnsi="Arial" w:cs="Arial"/>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DACD" w14:textId="77777777" w:rsidR="00CC65EB" w:rsidRDefault="00CC65EB">
      <w:bookmarkStart w:id="0" w:name="_Hlk65050907"/>
      <w:bookmarkEnd w:id="0"/>
      <w:r>
        <w:separator/>
      </w:r>
    </w:p>
  </w:footnote>
  <w:footnote w:type="continuationSeparator" w:id="0">
    <w:p w14:paraId="2697314B" w14:textId="77777777" w:rsidR="00CC65EB" w:rsidRDefault="00CC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4A0" w:firstRow="1" w:lastRow="0" w:firstColumn="1" w:lastColumn="0" w:noHBand="0" w:noVBand="1"/>
    </w:tblPr>
    <w:tblGrid>
      <w:gridCol w:w="1346"/>
      <w:gridCol w:w="6166"/>
      <w:gridCol w:w="2456"/>
    </w:tblGrid>
    <w:tr w:rsidR="00825398" w:rsidRPr="00CD6F03" w14:paraId="654CACE8" w14:textId="77777777" w:rsidTr="00CD6F03">
      <w:trPr>
        <w:trHeight w:val="283"/>
      </w:trPr>
      <w:tc>
        <w:tcPr>
          <w:tcW w:w="675" w:type="pct"/>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B24DAFC" w14:textId="1BB02D02" w:rsidR="00825398" w:rsidRPr="00CD6F03" w:rsidRDefault="00825398" w:rsidP="00825398">
          <w:pPr>
            <w:ind w:hanging="2"/>
            <w:jc w:val="center"/>
            <w:rPr>
              <w:rFonts w:ascii="Arial" w:hAnsi="Arial" w:cs="Arial"/>
              <w:sz w:val="22"/>
              <w:szCs w:val="22"/>
            </w:rPr>
          </w:pPr>
          <w:r w:rsidRPr="00CD6F03">
            <w:rPr>
              <w:rFonts w:ascii="Arial" w:hAnsi="Arial" w:cs="Arial"/>
              <w:noProof/>
              <w:sz w:val="22"/>
              <w:szCs w:val="22"/>
            </w:rPr>
            <w:drawing>
              <wp:inline distT="0" distB="0" distL="0" distR="0" wp14:anchorId="50D6CA89" wp14:editId="643A6E7C">
                <wp:extent cx="638175" cy="662720"/>
                <wp:effectExtent l="0" t="0" r="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541" cy="667254"/>
                        </a:xfrm>
                        <a:prstGeom prst="rect">
                          <a:avLst/>
                        </a:prstGeom>
                        <a:noFill/>
                        <a:ln>
                          <a:noFill/>
                        </a:ln>
                      </pic:spPr>
                    </pic:pic>
                  </a:graphicData>
                </a:graphic>
              </wp:inline>
            </w:drawing>
          </w:r>
        </w:p>
      </w:tc>
      <w:tc>
        <w:tcPr>
          <w:tcW w:w="3093" w:type="pct"/>
          <w:vMerge w:val="restart"/>
          <w:tcBorders>
            <w:top w:val="single" w:sz="2" w:space="0" w:color="000000"/>
            <w:left w:val="single" w:sz="2" w:space="0" w:color="000000"/>
          </w:tcBorders>
          <w:shd w:val="clear" w:color="auto" w:fill="auto"/>
          <w:tcMar>
            <w:top w:w="55" w:type="dxa"/>
            <w:left w:w="54" w:type="dxa"/>
            <w:bottom w:w="55" w:type="dxa"/>
            <w:right w:w="55" w:type="dxa"/>
          </w:tcMar>
          <w:vAlign w:val="center"/>
        </w:tcPr>
        <w:p w14:paraId="2FF1E0FF" w14:textId="2275FA90" w:rsidR="00825398" w:rsidRPr="00CD6F03" w:rsidRDefault="00CD6F03" w:rsidP="00825398">
          <w:pPr>
            <w:jc w:val="center"/>
            <w:rPr>
              <w:rFonts w:ascii="Arial" w:hAnsi="Arial" w:cs="Arial"/>
              <w:sz w:val="22"/>
              <w:szCs w:val="22"/>
            </w:rPr>
          </w:pPr>
          <w:r w:rsidRPr="00CD6F03">
            <w:rPr>
              <w:rFonts w:ascii="Arial" w:hAnsi="Arial" w:cs="Arial"/>
              <w:sz w:val="22"/>
              <w:szCs w:val="22"/>
            </w:rPr>
            <w:t>PARTICIPACIÓN CIUDADANA</w:t>
          </w:r>
        </w:p>
      </w:tc>
      <w:tc>
        <w:tcPr>
          <w:tcW w:w="1232" w:type="pct"/>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6D515C3E" w14:textId="4FA4A511" w:rsidR="00825398" w:rsidRPr="00CD6F03" w:rsidRDefault="00825398" w:rsidP="00825398">
          <w:pPr>
            <w:pStyle w:val="TableContents"/>
            <w:widowControl/>
            <w:suppressLineNumbers w:val="0"/>
            <w:suppressAutoHyphens w:val="0"/>
            <w:autoSpaceDN/>
            <w:spacing w:after="0"/>
            <w:textAlignment w:val="auto"/>
            <w:rPr>
              <w:rFonts w:ascii="Arial" w:hAnsi="Arial" w:cs="Arial"/>
              <w:sz w:val="16"/>
              <w:szCs w:val="16"/>
            </w:rPr>
          </w:pPr>
          <w:r w:rsidRPr="00CD6F03">
            <w:rPr>
              <w:rFonts w:ascii="Arial" w:hAnsi="Arial" w:cs="Arial"/>
              <w:sz w:val="16"/>
              <w:szCs w:val="16"/>
            </w:rPr>
            <w:t>CÓDIGO:</w:t>
          </w:r>
          <w:r w:rsidR="00CD6F03" w:rsidRPr="00CD6F03">
            <w:rPr>
              <w:rFonts w:ascii="Arial" w:hAnsi="Arial" w:cs="Arial"/>
              <w:sz w:val="16"/>
              <w:szCs w:val="16"/>
            </w:rPr>
            <w:t xml:space="preserve"> PCD-PR-01-FR-03</w:t>
          </w:r>
        </w:p>
      </w:tc>
    </w:tr>
    <w:tr w:rsidR="00825398" w:rsidRPr="00CD6F03" w14:paraId="716C1D35" w14:textId="77777777" w:rsidTr="00CD6F03">
      <w:trPr>
        <w:trHeight w:val="283"/>
      </w:trPr>
      <w:tc>
        <w:tcPr>
          <w:tcW w:w="675" w:type="pct"/>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4992402F" w14:textId="77777777" w:rsidR="00825398" w:rsidRPr="00CD6F03" w:rsidRDefault="00825398" w:rsidP="00825398">
          <w:pPr>
            <w:ind w:hanging="2"/>
            <w:rPr>
              <w:rFonts w:ascii="Arial" w:eastAsia="DejaVu Sans" w:hAnsi="Arial" w:cs="Arial"/>
              <w:sz w:val="22"/>
              <w:szCs w:val="22"/>
            </w:rPr>
          </w:pPr>
        </w:p>
      </w:tc>
      <w:tc>
        <w:tcPr>
          <w:tcW w:w="3093" w:type="pct"/>
          <w:vMerge/>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0AB5273D" w14:textId="77777777" w:rsidR="00825398" w:rsidRPr="00CD6F03" w:rsidRDefault="00825398" w:rsidP="00825398">
          <w:pPr>
            <w:jc w:val="center"/>
            <w:rPr>
              <w:rFonts w:ascii="Arial" w:eastAsia="DejaVu Sans" w:hAnsi="Arial" w:cs="Arial"/>
              <w:sz w:val="22"/>
              <w:szCs w:val="22"/>
            </w:rPr>
          </w:pPr>
        </w:p>
      </w:tc>
      <w:tc>
        <w:tcPr>
          <w:tcW w:w="1232" w:type="pct"/>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62AF12AB" w14:textId="689E149B" w:rsidR="00825398" w:rsidRPr="00CD6F03" w:rsidRDefault="00825398" w:rsidP="00825398">
          <w:pPr>
            <w:pStyle w:val="TableContents"/>
            <w:widowControl/>
            <w:suppressLineNumbers w:val="0"/>
            <w:suppressAutoHyphens w:val="0"/>
            <w:autoSpaceDN/>
            <w:spacing w:after="0"/>
            <w:textAlignment w:val="auto"/>
            <w:rPr>
              <w:rFonts w:ascii="Arial" w:hAnsi="Arial" w:cs="Arial"/>
              <w:sz w:val="16"/>
              <w:szCs w:val="16"/>
            </w:rPr>
          </w:pPr>
          <w:r w:rsidRPr="00CD6F03">
            <w:rPr>
              <w:rFonts w:ascii="Arial" w:hAnsi="Arial" w:cs="Arial"/>
              <w:sz w:val="16"/>
              <w:szCs w:val="16"/>
            </w:rPr>
            <w:t>VERSIÓN: 0</w:t>
          </w:r>
          <w:r w:rsidR="00CD6F03" w:rsidRPr="00CD6F03">
            <w:rPr>
              <w:rFonts w:ascii="Arial" w:hAnsi="Arial" w:cs="Arial"/>
              <w:sz w:val="16"/>
              <w:szCs w:val="16"/>
            </w:rPr>
            <w:t>1</w:t>
          </w:r>
        </w:p>
      </w:tc>
    </w:tr>
    <w:tr w:rsidR="00825398" w:rsidRPr="00CD6F03" w14:paraId="60DD71C6" w14:textId="77777777" w:rsidTr="00CD6F03">
      <w:trPr>
        <w:trHeight w:val="340"/>
      </w:trPr>
      <w:tc>
        <w:tcPr>
          <w:tcW w:w="675" w:type="pct"/>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BA97A74" w14:textId="77777777" w:rsidR="00825398" w:rsidRPr="00CD6F03" w:rsidRDefault="00825398" w:rsidP="00825398">
          <w:pPr>
            <w:ind w:hanging="2"/>
            <w:rPr>
              <w:rFonts w:ascii="Arial" w:eastAsia="DejaVu Sans" w:hAnsi="Arial" w:cs="Arial"/>
              <w:sz w:val="22"/>
              <w:szCs w:val="22"/>
            </w:rPr>
          </w:pPr>
        </w:p>
      </w:tc>
      <w:tc>
        <w:tcPr>
          <w:tcW w:w="3093" w:type="pc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05F3B00" w14:textId="77777777" w:rsidR="002218D2" w:rsidRPr="00CD6F03" w:rsidRDefault="00825398" w:rsidP="00825398">
          <w:pPr>
            <w:jc w:val="center"/>
            <w:rPr>
              <w:rFonts w:ascii="Arial" w:hAnsi="Arial" w:cs="Arial"/>
              <w:color w:val="000000"/>
              <w:sz w:val="22"/>
              <w:szCs w:val="22"/>
            </w:rPr>
          </w:pPr>
          <w:r w:rsidRPr="00CD6F03">
            <w:rPr>
              <w:rFonts w:ascii="Arial" w:hAnsi="Arial" w:cs="Arial"/>
              <w:color w:val="000000"/>
              <w:sz w:val="22"/>
              <w:szCs w:val="22"/>
            </w:rPr>
            <w:t xml:space="preserve">ESQUEMA DE ACOMPAÑAMIENTO </w:t>
          </w:r>
        </w:p>
        <w:p w14:paraId="0FCBAC41" w14:textId="5A2DF6BB" w:rsidR="00825398" w:rsidRPr="00CD6F03" w:rsidRDefault="00825398" w:rsidP="00825398">
          <w:pPr>
            <w:jc w:val="center"/>
            <w:rPr>
              <w:rFonts w:ascii="Arial" w:hAnsi="Arial" w:cs="Arial"/>
              <w:color w:val="000000"/>
              <w:sz w:val="22"/>
              <w:szCs w:val="22"/>
              <w:shd w:val="clear" w:color="auto" w:fill="FFFFFF"/>
            </w:rPr>
          </w:pPr>
          <w:r w:rsidRPr="00CD6F03">
            <w:rPr>
              <w:rFonts w:ascii="Arial" w:hAnsi="Arial" w:cs="Arial"/>
              <w:color w:val="000000"/>
              <w:sz w:val="22"/>
              <w:szCs w:val="22"/>
            </w:rPr>
            <w:t>FONDOS DE DESARROLLO LOCAL</w:t>
          </w:r>
        </w:p>
      </w:tc>
      <w:tc>
        <w:tcPr>
          <w:tcW w:w="1232" w:type="pct"/>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139BF39C" w14:textId="7C4EB3A3" w:rsidR="00825398" w:rsidRPr="00CD6F03" w:rsidRDefault="00825398" w:rsidP="00825398">
          <w:pPr>
            <w:pStyle w:val="TableContents"/>
            <w:spacing w:after="0"/>
            <w:ind w:hanging="1"/>
            <w:rPr>
              <w:rFonts w:ascii="Arial" w:hAnsi="Arial" w:cs="Arial"/>
              <w:sz w:val="16"/>
              <w:szCs w:val="16"/>
            </w:rPr>
          </w:pPr>
          <w:r w:rsidRPr="00CD6F03">
            <w:rPr>
              <w:rFonts w:ascii="Arial" w:hAnsi="Arial" w:cs="Arial"/>
              <w:sz w:val="16"/>
              <w:szCs w:val="16"/>
            </w:rPr>
            <w:t xml:space="preserve">FECHA: </w:t>
          </w:r>
          <w:r w:rsidR="00CD6F03" w:rsidRPr="00CD6F03">
            <w:rPr>
              <w:rFonts w:ascii="Arial" w:hAnsi="Arial" w:cs="Arial"/>
              <w:sz w:val="16"/>
              <w:szCs w:val="16"/>
            </w:rPr>
            <w:t>26/11/2021</w:t>
          </w:r>
        </w:p>
      </w:tc>
    </w:tr>
  </w:tbl>
  <w:p w14:paraId="7EFB8A32" w14:textId="77777777" w:rsidR="00825398" w:rsidRPr="00CD6F03" w:rsidRDefault="00825398">
    <w:pPr>
      <w:pBdr>
        <w:top w:val="nil"/>
        <w:left w:val="nil"/>
        <w:bottom w:val="nil"/>
        <w:right w:val="nil"/>
        <w:between w:val="nil"/>
      </w:pBdr>
      <w:tabs>
        <w:tab w:val="center" w:pos="4252"/>
        <w:tab w:val="right" w:pos="8504"/>
      </w:tabs>
      <w:jc w:val="both"/>
      <w:rPr>
        <w:rFonts w:ascii="Arial" w:eastAsia="Arial Narrow"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98"/>
    <w:multiLevelType w:val="multilevel"/>
    <w:tmpl w:val="470AD7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AF"/>
    <w:rsid w:val="00025106"/>
    <w:rsid w:val="00067E5E"/>
    <w:rsid w:val="00080E09"/>
    <w:rsid w:val="000B7357"/>
    <w:rsid w:val="000D5B0E"/>
    <w:rsid w:val="000E41B4"/>
    <w:rsid w:val="000F322E"/>
    <w:rsid w:val="00126A07"/>
    <w:rsid w:val="00137787"/>
    <w:rsid w:val="002218D2"/>
    <w:rsid w:val="002522BA"/>
    <w:rsid w:val="0028120E"/>
    <w:rsid w:val="002D4E5E"/>
    <w:rsid w:val="00392251"/>
    <w:rsid w:val="003D0568"/>
    <w:rsid w:val="003F2977"/>
    <w:rsid w:val="004541E7"/>
    <w:rsid w:val="005C5400"/>
    <w:rsid w:val="005D5596"/>
    <w:rsid w:val="006F1703"/>
    <w:rsid w:val="00723858"/>
    <w:rsid w:val="00747B13"/>
    <w:rsid w:val="00765A50"/>
    <w:rsid w:val="00825398"/>
    <w:rsid w:val="008F674E"/>
    <w:rsid w:val="00944EE9"/>
    <w:rsid w:val="009510C8"/>
    <w:rsid w:val="00982D17"/>
    <w:rsid w:val="00A95325"/>
    <w:rsid w:val="00AF038D"/>
    <w:rsid w:val="00AF7B69"/>
    <w:rsid w:val="00B149BD"/>
    <w:rsid w:val="00B15D2E"/>
    <w:rsid w:val="00B312DD"/>
    <w:rsid w:val="00B765C9"/>
    <w:rsid w:val="00B9255D"/>
    <w:rsid w:val="00C30700"/>
    <w:rsid w:val="00C57AAF"/>
    <w:rsid w:val="00CC65EB"/>
    <w:rsid w:val="00CD6F03"/>
    <w:rsid w:val="00D21009"/>
    <w:rsid w:val="00DC0341"/>
    <w:rsid w:val="00DE267E"/>
    <w:rsid w:val="00EC57AD"/>
    <w:rsid w:val="00F35391"/>
    <w:rsid w:val="00FF5D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4D994"/>
  <w15:docId w15:val="{47059AD4-0D69-43D2-92ED-689C46A5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480" w:lineRule="auto"/>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jc w:val="both"/>
      <w:outlineLvl w:val="4"/>
    </w:pPr>
    <w:rPr>
      <w:b/>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widowControl w:val="0"/>
      <w:jc w:val="center"/>
    </w:pPr>
    <w:rPr>
      <w:rFonts w:ascii="Arial" w:eastAsia="Arial" w:hAnsi="Arial" w:cs="Arial"/>
      <w:b/>
      <w:sz w:val="24"/>
      <w:szCs w:val="24"/>
    </w:rPr>
  </w:style>
  <w:style w:type="paragraph" w:styleId="Subttulo">
    <w:name w:val="Subtitle"/>
    <w:basedOn w:val="Normal"/>
    <w:next w:val="Normal"/>
    <w:uiPriority w:val="11"/>
    <w:qFormat/>
    <w:pPr>
      <w:jc w:val="center"/>
    </w:pPr>
    <w:rPr>
      <w:color w:val="3366FF"/>
      <w:sz w:val="28"/>
      <w:szCs w:val="2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126A07"/>
    <w:pPr>
      <w:tabs>
        <w:tab w:val="center" w:pos="4419"/>
        <w:tab w:val="right" w:pos="8838"/>
      </w:tabs>
    </w:pPr>
  </w:style>
  <w:style w:type="character" w:customStyle="1" w:styleId="EncabezadoCar">
    <w:name w:val="Encabezado Car"/>
    <w:basedOn w:val="Fuentedeprrafopredeter"/>
    <w:link w:val="Encabezado"/>
    <w:uiPriority w:val="99"/>
    <w:rsid w:val="00126A07"/>
  </w:style>
  <w:style w:type="paragraph" w:styleId="Piedepgina">
    <w:name w:val="footer"/>
    <w:basedOn w:val="Normal"/>
    <w:link w:val="PiedepginaCar"/>
    <w:unhideWhenUsed/>
    <w:qFormat/>
    <w:rsid w:val="00126A07"/>
    <w:pPr>
      <w:tabs>
        <w:tab w:val="center" w:pos="4419"/>
        <w:tab w:val="right" w:pos="8838"/>
      </w:tabs>
    </w:pPr>
  </w:style>
  <w:style w:type="character" w:customStyle="1" w:styleId="PiedepginaCar">
    <w:name w:val="Pie de página Car"/>
    <w:basedOn w:val="Fuentedeprrafopredeter"/>
    <w:link w:val="Piedepgina"/>
    <w:uiPriority w:val="99"/>
    <w:rsid w:val="00126A07"/>
  </w:style>
  <w:style w:type="table" w:styleId="Tablaconcuadrcula">
    <w:name w:val="Table Grid"/>
    <w:basedOn w:val="Tablanormal"/>
    <w:uiPriority w:val="39"/>
    <w:rsid w:val="0006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Textoindependiente"/>
    <w:rsid w:val="00825398"/>
    <w:pPr>
      <w:widowControl w:val="0"/>
      <w:suppressLineNumbers/>
      <w:suppressAutoHyphens/>
      <w:autoSpaceDN w:val="0"/>
      <w:textAlignment w:val="baseline"/>
    </w:pPr>
    <w:rPr>
      <w:rFonts w:ascii="Nimbus Roman No9 L" w:eastAsia="Nimbus Roman No9 L" w:hAnsi="Nimbus Roman No9 L" w:cs="DejaVu Sans"/>
      <w:sz w:val="24"/>
      <w:szCs w:val="24"/>
      <w:lang w:val="es-CO"/>
    </w:rPr>
  </w:style>
  <w:style w:type="paragraph" w:styleId="Textoindependiente">
    <w:name w:val="Body Text"/>
    <w:basedOn w:val="Normal"/>
    <w:link w:val="TextoindependienteCar"/>
    <w:uiPriority w:val="99"/>
    <w:semiHidden/>
    <w:unhideWhenUsed/>
    <w:rsid w:val="00825398"/>
    <w:pPr>
      <w:spacing w:after="120"/>
    </w:pPr>
  </w:style>
  <w:style w:type="character" w:customStyle="1" w:styleId="TextoindependienteCar">
    <w:name w:val="Texto independiente Car"/>
    <w:basedOn w:val="Fuentedeprrafopredeter"/>
    <w:link w:val="Textoindependiente"/>
    <w:uiPriority w:val="99"/>
    <w:semiHidden/>
    <w:rsid w:val="00825398"/>
  </w:style>
  <w:style w:type="character" w:customStyle="1" w:styleId="PiedepginaCar1">
    <w:name w:val="Pie de página Car1"/>
    <w:rsid w:val="003F2977"/>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2972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CR</dc:creator>
  <cp:lastModifiedBy>Ruth Bermudez</cp:lastModifiedBy>
  <cp:revision>3</cp:revision>
  <dcterms:created xsi:type="dcterms:W3CDTF">2022-01-11T22:41:00Z</dcterms:created>
  <dcterms:modified xsi:type="dcterms:W3CDTF">2022-01-11T22:44:00Z</dcterms:modified>
</cp:coreProperties>
</file>